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D3D02" w14:textId="1DD9FD49" w:rsidR="00230F4E" w:rsidRDefault="00230F4E" w:rsidP="00230F4E">
      <w:pPr>
        <w:jc w:val="center"/>
      </w:pPr>
      <w:r>
        <w:rPr>
          <w:noProof/>
        </w:rPr>
        <w:drawing>
          <wp:inline distT="0" distB="0" distL="0" distR="0" wp14:anchorId="4F9F0D9D" wp14:editId="5550E93C">
            <wp:extent cx="1647825" cy="1648265"/>
            <wp:effectExtent l="0" t="0" r="0" b="9525"/>
            <wp:docPr id="133641205" name="Picture 1" descr="A yellow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41205" name="Picture 1" descr="A yellow circle with a building and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0073" cy="1660516"/>
                    </a:xfrm>
                    <a:prstGeom prst="rect">
                      <a:avLst/>
                    </a:prstGeom>
                  </pic:spPr>
                </pic:pic>
              </a:graphicData>
            </a:graphic>
          </wp:inline>
        </w:drawing>
      </w:r>
    </w:p>
    <w:p w14:paraId="7ADA5E9F" w14:textId="21374246" w:rsidR="00230F4E" w:rsidRPr="00230F4E" w:rsidRDefault="00230F4E" w:rsidP="00230F4E">
      <w:pPr>
        <w:jc w:val="center"/>
        <w:rPr>
          <w:b/>
          <w:bCs/>
        </w:rPr>
      </w:pPr>
      <w:r w:rsidRPr="00230F4E">
        <w:rPr>
          <w:b/>
          <w:bCs/>
        </w:rPr>
        <w:t>Training Plan 2025-</w:t>
      </w:r>
      <w:r>
        <w:rPr>
          <w:b/>
          <w:bCs/>
        </w:rPr>
        <w:t>20</w:t>
      </w:r>
      <w:r w:rsidRPr="00230F4E">
        <w:rPr>
          <w:b/>
          <w:bCs/>
        </w:rPr>
        <w:t>26</w:t>
      </w:r>
    </w:p>
    <w:p w14:paraId="69EC645C" w14:textId="4E371D80" w:rsidR="00B946FF" w:rsidRDefault="00B946FF" w:rsidP="00B946FF">
      <w:r>
        <w:t>Date approved by Council</w:t>
      </w:r>
      <w:r w:rsidR="00ED72C6">
        <w:t xml:space="preserve"> 09/09/2025</w:t>
      </w:r>
      <w:r>
        <w:t xml:space="preserve">…………………………. </w:t>
      </w:r>
    </w:p>
    <w:p w14:paraId="2CD30D11" w14:textId="3456311B" w:rsidR="00B946FF" w:rsidRDefault="00B946FF" w:rsidP="00B946FF">
      <w:r>
        <w:t>Date of Planned Review</w:t>
      </w:r>
      <w:r w:rsidR="00ED72C6">
        <w:t xml:space="preserve"> May 2026</w:t>
      </w:r>
      <w:r>
        <w:t>……………………………</w:t>
      </w:r>
    </w:p>
    <w:p w14:paraId="37A91161" w14:textId="545FBF14" w:rsidR="00B946FF" w:rsidRDefault="00B946FF" w:rsidP="00B946FF">
      <w:r>
        <w:t>This training plan has been prepared in accordance with Section 67 of the 2021 Local Government and Elections (Wales) Act.</w:t>
      </w:r>
    </w:p>
    <w:p w14:paraId="524AA6A9" w14:textId="77777777" w:rsidR="00B946FF" w:rsidRDefault="00B946FF" w:rsidP="00B946FF">
      <w:pPr>
        <w:spacing w:after="0" w:afterAutospacing="0"/>
      </w:pPr>
      <w:r>
        <w:t xml:space="preserve">This training plan has been prepared based on the guidance issued by One Voice Wales and the Society of Local Councils. Councillor roles and employee roles have been assessed by reference to a set of core competencies for each role. This assessment has enabled the Council to prioritise its resources to enable all roles within the council to be supported by a well thought approach to its training and development needs. The commitment contained in this training plan will assist the council to enhance its approach to the delivery of high-quality services to its community. </w:t>
      </w:r>
    </w:p>
    <w:p w14:paraId="343450D6" w14:textId="77777777" w:rsidR="00B946FF" w:rsidRDefault="00B946FF" w:rsidP="00B946FF">
      <w:pPr>
        <w:spacing w:after="0" w:afterAutospacing="0"/>
      </w:pPr>
    </w:p>
    <w:p w14:paraId="266D055B" w14:textId="14E87099" w:rsidR="00230F4E" w:rsidRDefault="00B946FF" w:rsidP="00B946FF">
      <w:pPr>
        <w:spacing w:after="0" w:afterAutospacing="0"/>
      </w:pPr>
      <w:r>
        <w:t>The plan will be reviewed at least on an annual basis to ensure that it remains fit for purpose and accounts for the changing needs of councillors and employees as well as any turnover of councillors or employees.</w:t>
      </w:r>
    </w:p>
    <w:p w14:paraId="4E0FAB02" w14:textId="77777777" w:rsidR="00B946FF" w:rsidRDefault="00B946FF" w:rsidP="00B946FF">
      <w:pPr>
        <w:spacing w:after="0" w:afterAutospacing="0"/>
      </w:pPr>
    </w:p>
    <w:p w14:paraId="25C7DCAB" w14:textId="149E982B" w:rsidR="00B946FF" w:rsidRDefault="00230F4E" w:rsidP="00B946FF">
      <w:r>
        <w:t>This training plan should be viewed as a living document which can be updated from time to time, and it relates not only to the Council’s 7 Members but to any training needs which the Council’s staff may identify.</w:t>
      </w:r>
      <w:r w:rsidR="00B946FF">
        <w:br/>
      </w:r>
      <w:r w:rsidR="00B946FF">
        <w:br/>
      </w:r>
      <w:r>
        <w:t>Following election or co-option, all Members of Council</w:t>
      </w:r>
      <w:r w:rsidR="00B946FF">
        <w:t>lors</w:t>
      </w:r>
      <w:r>
        <w:t xml:space="preserve"> will be provided with information about a wide range of training courses with a view to ensuring that Members consider the skills that they need to perform their role as a Councillor or as a member of one of the Council’s Committees.  </w:t>
      </w:r>
    </w:p>
    <w:p w14:paraId="3E7A5858" w14:textId="0CB78E14" w:rsidR="00230F4E" w:rsidRDefault="00230F4E" w:rsidP="00B946FF">
      <w:r>
        <w:lastRenderedPageBreak/>
        <w:t xml:space="preserve">In particular, it is important to ensure that their level of knowledge is improved or maintained in relation to –   </w:t>
      </w:r>
    </w:p>
    <w:p w14:paraId="646A1E17" w14:textId="77777777" w:rsidR="00230F4E" w:rsidRDefault="00230F4E" w:rsidP="00230F4E">
      <w:pPr>
        <w:pStyle w:val="ListParagraph"/>
        <w:numPr>
          <w:ilvl w:val="0"/>
          <w:numId w:val="3"/>
        </w:numPr>
      </w:pPr>
      <w:r>
        <w:t xml:space="preserve">Basic induction – particularly for new Members </w:t>
      </w:r>
    </w:p>
    <w:p w14:paraId="33FED6D2" w14:textId="77777777" w:rsidR="00230F4E" w:rsidRDefault="00230F4E" w:rsidP="00230F4E">
      <w:pPr>
        <w:pStyle w:val="ListParagraph"/>
        <w:numPr>
          <w:ilvl w:val="0"/>
          <w:numId w:val="3"/>
        </w:numPr>
      </w:pPr>
      <w:r>
        <w:t xml:space="preserve">The Code of Conduct </w:t>
      </w:r>
    </w:p>
    <w:p w14:paraId="1867F1F4" w14:textId="6CE1F848" w:rsidR="00230F4E" w:rsidRDefault="00230F4E" w:rsidP="00230F4E">
      <w:pPr>
        <w:pStyle w:val="ListParagraph"/>
        <w:numPr>
          <w:ilvl w:val="0"/>
          <w:numId w:val="3"/>
        </w:numPr>
      </w:pPr>
      <w:r>
        <w:t xml:space="preserve">Financial Management and Governance. </w:t>
      </w:r>
    </w:p>
    <w:p w14:paraId="1542B767" w14:textId="52840916" w:rsidR="007E2C98" w:rsidRDefault="00230F4E" w:rsidP="00230F4E">
      <w:r>
        <w:t xml:space="preserve"> The programme is outlined in the following table.</w:t>
      </w:r>
    </w:p>
    <w:tbl>
      <w:tblPr>
        <w:tblStyle w:val="TableGrid"/>
        <w:tblW w:w="14170" w:type="dxa"/>
        <w:tblLook w:val="04A0" w:firstRow="1" w:lastRow="0" w:firstColumn="1" w:lastColumn="0" w:noHBand="0" w:noVBand="1"/>
      </w:tblPr>
      <w:tblGrid>
        <w:gridCol w:w="3231"/>
        <w:gridCol w:w="1594"/>
        <w:gridCol w:w="2258"/>
        <w:gridCol w:w="3122"/>
        <w:gridCol w:w="2325"/>
        <w:gridCol w:w="1640"/>
      </w:tblGrid>
      <w:tr w:rsidR="00230F4E" w14:paraId="4F8FADC7" w14:textId="77777777" w:rsidTr="00B15796">
        <w:tc>
          <w:tcPr>
            <w:tcW w:w="3231" w:type="dxa"/>
          </w:tcPr>
          <w:p w14:paraId="6B7063DB" w14:textId="00F705EC" w:rsidR="00230F4E" w:rsidRDefault="00B946FF" w:rsidP="00230F4E">
            <w:r>
              <w:t xml:space="preserve">Course Title </w:t>
            </w:r>
          </w:p>
        </w:tc>
        <w:tc>
          <w:tcPr>
            <w:tcW w:w="1594" w:type="dxa"/>
          </w:tcPr>
          <w:p w14:paraId="51B3CB62" w14:textId="7C56A2F4" w:rsidR="00230F4E" w:rsidRDefault="00B946FF" w:rsidP="00230F4E">
            <w:r>
              <w:t>Timeline</w:t>
            </w:r>
          </w:p>
        </w:tc>
        <w:tc>
          <w:tcPr>
            <w:tcW w:w="2258" w:type="dxa"/>
          </w:tcPr>
          <w:p w14:paraId="798E4E22" w14:textId="78C671F5" w:rsidR="00230F4E" w:rsidRDefault="00B946FF" w:rsidP="00230F4E">
            <w:r>
              <w:t>Source of Training</w:t>
            </w:r>
          </w:p>
        </w:tc>
        <w:tc>
          <w:tcPr>
            <w:tcW w:w="3122" w:type="dxa"/>
          </w:tcPr>
          <w:p w14:paraId="63585EE4" w14:textId="746238B7" w:rsidR="00230F4E" w:rsidRDefault="00B946FF" w:rsidP="00230F4E">
            <w:r>
              <w:t>Target Audience</w:t>
            </w:r>
          </w:p>
        </w:tc>
        <w:tc>
          <w:tcPr>
            <w:tcW w:w="2325" w:type="dxa"/>
          </w:tcPr>
          <w:p w14:paraId="503D4A70" w14:textId="6C5D9E20" w:rsidR="00230F4E" w:rsidRDefault="00B946FF" w:rsidP="00230F4E">
            <w:r>
              <w:t>Attended</w:t>
            </w:r>
          </w:p>
        </w:tc>
        <w:tc>
          <w:tcPr>
            <w:tcW w:w="1640" w:type="dxa"/>
          </w:tcPr>
          <w:p w14:paraId="5A5D7CF5" w14:textId="78C0367B" w:rsidR="00230F4E" w:rsidRDefault="00B946FF" w:rsidP="00230F4E">
            <w:r>
              <w:t>Cost</w:t>
            </w:r>
          </w:p>
        </w:tc>
      </w:tr>
      <w:tr w:rsidR="00B946FF" w:rsidRPr="00B946FF" w14:paraId="0093BBE6" w14:textId="77777777" w:rsidTr="00B15796">
        <w:tc>
          <w:tcPr>
            <w:tcW w:w="14170" w:type="dxa"/>
            <w:gridSpan w:val="6"/>
            <w:shd w:val="clear" w:color="auto" w:fill="FFC000"/>
          </w:tcPr>
          <w:p w14:paraId="415F502E" w14:textId="6EF7762A" w:rsidR="00B946FF" w:rsidRPr="00B946FF" w:rsidRDefault="00B946FF" w:rsidP="00230F4E">
            <w:pPr>
              <w:rPr>
                <w:b/>
                <w:bCs/>
              </w:rPr>
            </w:pPr>
            <w:r w:rsidRPr="00B946FF">
              <w:rPr>
                <w:b/>
                <w:bCs/>
              </w:rPr>
              <w:t>2025-2026</w:t>
            </w:r>
          </w:p>
        </w:tc>
      </w:tr>
      <w:tr w:rsidR="00230F4E" w14:paraId="10A303E2" w14:textId="77777777" w:rsidTr="00B15796">
        <w:tc>
          <w:tcPr>
            <w:tcW w:w="3231" w:type="dxa"/>
          </w:tcPr>
          <w:p w14:paraId="3E9C0919" w14:textId="2535F275" w:rsidR="00230F4E" w:rsidRDefault="00B946FF" w:rsidP="00230F4E">
            <w:r>
              <w:t xml:space="preserve">Code of Conduct </w:t>
            </w:r>
          </w:p>
        </w:tc>
        <w:tc>
          <w:tcPr>
            <w:tcW w:w="1594" w:type="dxa"/>
          </w:tcPr>
          <w:p w14:paraId="0315D3D0" w14:textId="19370A90" w:rsidR="00230F4E" w:rsidRDefault="00B15796" w:rsidP="00230F4E">
            <w:r>
              <w:t>2025</w:t>
            </w:r>
          </w:p>
        </w:tc>
        <w:tc>
          <w:tcPr>
            <w:tcW w:w="2258" w:type="dxa"/>
          </w:tcPr>
          <w:p w14:paraId="776B7554" w14:textId="4F42F413" w:rsidR="00230F4E" w:rsidRDefault="00B15796" w:rsidP="00230F4E">
            <w:r>
              <w:t>OVW</w:t>
            </w:r>
          </w:p>
        </w:tc>
        <w:tc>
          <w:tcPr>
            <w:tcW w:w="3122" w:type="dxa"/>
          </w:tcPr>
          <w:p w14:paraId="7080FC25" w14:textId="7A6CF5D8" w:rsidR="00230F4E" w:rsidRDefault="00B15796" w:rsidP="00230F4E">
            <w:r>
              <w:t>All councillors</w:t>
            </w:r>
          </w:p>
        </w:tc>
        <w:tc>
          <w:tcPr>
            <w:tcW w:w="2325" w:type="dxa"/>
          </w:tcPr>
          <w:p w14:paraId="1F56061D" w14:textId="77777777" w:rsidR="00230F4E" w:rsidRDefault="00230F4E" w:rsidP="00230F4E"/>
        </w:tc>
        <w:tc>
          <w:tcPr>
            <w:tcW w:w="1640" w:type="dxa"/>
          </w:tcPr>
          <w:p w14:paraId="423544F3" w14:textId="33E9BCD6" w:rsidR="00230F4E" w:rsidRDefault="008E330C" w:rsidP="00230F4E">
            <w:r>
              <w:t>2 Cllr spaces free</w:t>
            </w:r>
            <w:r>
              <w:br/>
            </w:r>
            <w:r w:rsidR="00B15796">
              <w:t>£42 each</w:t>
            </w:r>
          </w:p>
        </w:tc>
      </w:tr>
      <w:tr w:rsidR="00230F4E" w14:paraId="677CD6CB" w14:textId="77777777" w:rsidTr="00B15796">
        <w:tc>
          <w:tcPr>
            <w:tcW w:w="3231" w:type="dxa"/>
          </w:tcPr>
          <w:p w14:paraId="58D8B444" w14:textId="141792B9" w:rsidR="00230F4E" w:rsidRDefault="00B946FF" w:rsidP="00230F4E">
            <w:r>
              <w:t>The Council</w:t>
            </w:r>
          </w:p>
        </w:tc>
        <w:tc>
          <w:tcPr>
            <w:tcW w:w="1594" w:type="dxa"/>
          </w:tcPr>
          <w:p w14:paraId="0C887344" w14:textId="2D8D4FBA" w:rsidR="00230F4E" w:rsidRDefault="00034170" w:rsidP="00230F4E">
            <w:r>
              <w:t>2025</w:t>
            </w:r>
          </w:p>
        </w:tc>
        <w:tc>
          <w:tcPr>
            <w:tcW w:w="2258" w:type="dxa"/>
          </w:tcPr>
          <w:p w14:paraId="69BAB405" w14:textId="77777777" w:rsidR="00230F4E" w:rsidRDefault="00230F4E" w:rsidP="00230F4E"/>
        </w:tc>
        <w:tc>
          <w:tcPr>
            <w:tcW w:w="3122" w:type="dxa"/>
          </w:tcPr>
          <w:p w14:paraId="3A99061F" w14:textId="51F55539" w:rsidR="00230F4E" w:rsidRDefault="00034170" w:rsidP="00230F4E">
            <w:r>
              <w:t>New Councillors</w:t>
            </w:r>
          </w:p>
        </w:tc>
        <w:tc>
          <w:tcPr>
            <w:tcW w:w="2325" w:type="dxa"/>
          </w:tcPr>
          <w:p w14:paraId="1B8CB918" w14:textId="77777777" w:rsidR="00230F4E" w:rsidRDefault="00230F4E" w:rsidP="00230F4E"/>
        </w:tc>
        <w:tc>
          <w:tcPr>
            <w:tcW w:w="1640" w:type="dxa"/>
          </w:tcPr>
          <w:p w14:paraId="00A57B6E" w14:textId="77777777" w:rsidR="00230F4E" w:rsidRDefault="00230F4E" w:rsidP="00230F4E"/>
        </w:tc>
      </w:tr>
      <w:tr w:rsidR="00230F4E" w14:paraId="67FE6353" w14:textId="77777777" w:rsidTr="00B15796">
        <w:tc>
          <w:tcPr>
            <w:tcW w:w="3231" w:type="dxa"/>
          </w:tcPr>
          <w:p w14:paraId="3B490D8D" w14:textId="6EB48858" w:rsidR="00230F4E" w:rsidRDefault="00B946FF" w:rsidP="00230F4E">
            <w:r>
              <w:t>The Councillor</w:t>
            </w:r>
          </w:p>
        </w:tc>
        <w:tc>
          <w:tcPr>
            <w:tcW w:w="1594" w:type="dxa"/>
          </w:tcPr>
          <w:p w14:paraId="7C99BD6D" w14:textId="02BAE59E" w:rsidR="00230F4E" w:rsidRDefault="00034170" w:rsidP="00230F4E">
            <w:r>
              <w:t>2025</w:t>
            </w:r>
          </w:p>
        </w:tc>
        <w:tc>
          <w:tcPr>
            <w:tcW w:w="2258" w:type="dxa"/>
          </w:tcPr>
          <w:p w14:paraId="3104EB52" w14:textId="77777777" w:rsidR="00230F4E" w:rsidRDefault="00230F4E" w:rsidP="00230F4E"/>
        </w:tc>
        <w:tc>
          <w:tcPr>
            <w:tcW w:w="3122" w:type="dxa"/>
          </w:tcPr>
          <w:p w14:paraId="24C471D9" w14:textId="7AC047F8" w:rsidR="00230F4E" w:rsidRDefault="00034170" w:rsidP="00230F4E">
            <w:r>
              <w:t>New Councillors</w:t>
            </w:r>
          </w:p>
        </w:tc>
        <w:tc>
          <w:tcPr>
            <w:tcW w:w="2325" w:type="dxa"/>
          </w:tcPr>
          <w:p w14:paraId="1F504922" w14:textId="77777777" w:rsidR="00230F4E" w:rsidRDefault="00230F4E" w:rsidP="00230F4E"/>
        </w:tc>
        <w:tc>
          <w:tcPr>
            <w:tcW w:w="1640" w:type="dxa"/>
          </w:tcPr>
          <w:p w14:paraId="661252C6" w14:textId="77777777" w:rsidR="00230F4E" w:rsidRDefault="00230F4E" w:rsidP="00230F4E"/>
        </w:tc>
      </w:tr>
      <w:tr w:rsidR="00B946FF" w14:paraId="6121B3D5" w14:textId="77777777" w:rsidTr="00B15796">
        <w:tc>
          <w:tcPr>
            <w:tcW w:w="3231" w:type="dxa"/>
          </w:tcPr>
          <w:p w14:paraId="1E4C5AED" w14:textId="0B8C271C" w:rsidR="00B946FF" w:rsidRDefault="00B946FF" w:rsidP="00230F4E">
            <w:r>
              <w:t>Chairing skills</w:t>
            </w:r>
          </w:p>
        </w:tc>
        <w:tc>
          <w:tcPr>
            <w:tcW w:w="1594" w:type="dxa"/>
          </w:tcPr>
          <w:p w14:paraId="7248FDE0" w14:textId="10A69B3D" w:rsidR="00B946FF" w:rsidRDefault="00B15796" w:rsidP="00230F4E">
            <w:r>
              <w:t>2025</w:t>
            </w:r>
          </w:p>
        </w:tc>
        <w:tc>
          <w:tcPr>
            <w:tcW w:w="2258" w:type="dxa"/>
          </w:tcPr>
          <w:p w14:paraId="75407B06" w14:textId="5CC144B1" w:rsidR="00B946FF" w:rsidRDefault="00B15796" w:rsidP="00230F4E">
            <w:r>
              <w:t>OVW</w:t>
            </w:r>
          </w:p>
        </w:tc>
        <w:tc>
          <w:tcPr>
            <w:tcW w:w="3122" w:type="dxa"/>
          </w:tcPr>
          <w:p w14:paraId="45BC90BD" w14:textId="6A1F7745" w:rsidR="00B946FF" w:rsidRDefault="00B15796" w:rsidP="00230F4E">
            <w:r>
              <w:t>The chair and vice chair</w:t>
            </w:r>
          </w:p>
        </w:tc>
        <w:tc>
          <w:tcPr>
            <w:tcW w:w="2325" w:type="dxa"/>
          </w:tcPr>
          <w:p w14:paraId="6E096A5D" w14:textId="77777777" w:rsidR="00B946FF" w:rsidRDefault="00B946FF" w:rsidP="00230F4E"/>
        </w:tc>
        <w:tc>
          <w:tcPr>
            <w:tcW w:w="1640" w:type="dxa"/>
          </w:tcPr>
          <w:p w14:paraId="7A426B77" w14:textId="77777777" w:rsidR="00B946FF" w:rsidRDefault="00B946FF" w:rsidP="00230F4E"/>
        </w:tc>
      </w:tr>
      <w:tr w:rsidR="00B946FF" w14:paraId="65F68C09" w14:textId="77777777" w:rsidTr="00B15796">
        <w:tc>
          <w:tcPr>
            <w:tcW w:w="3231" w:type="dxa"/>
          </w:tcPr>
          <w:p w14:paraId="19EB0E54" w14:textId="5C4ED215" w:rsidR="00B946FF" w:rsidRDefault="00B946FF" w:rsidP="00230F4E">
            <w:r>
              <w:t>Local Government Finance</w:t>
            </w:r>
          </w:p>
        </w:tc>
        <w:tc>
          <w:tcPr>
            <w:tcW w:w="1594" w:type="dxa"/>
          </w:tcPr>
          <w:p w14:paraId="69917019" w14:textId="7AAD7F5C" w:rsidR="00B946FF" w:rsidRDefault="00B15796" w:rsidP="00230F4E">
            <w:r>
              <w:t>2025/26</w:t>
            </w:r>
          </w:p>
        </w:tc>
        <w:tc>
          <w:tcPr>
            <w:tcW w:w="2258" w:type="dxa"/>
          </w:tcPr>
          <w:p w14:paraId="0B866925" w14:textId="7AF39DDC" w:rsidR="00B946FF" w:rsidRDefault="00B15796" w:rsidP="00230F4E">
            <w:r>
              <w:t>OVW</w:t>
            </w:r>
          </w:p>
        </w:tc>
        <w:tc>
          <w:tcPr>
            <w:tcW w:w="3122" w:type="dxa"/>
          </w:tcPr>
          <w:p w14:paraId="3E7C5FCC" w14:textId="60B3CB96" w:rsidR="00B946FF" w:rsidRDefault="00B15796" w:rsidP="00230F4E">
            <w:r>
              <w:t>2 councillors</w:t>
            </w:r>
          </w:p>
        </w:tc>
        <w:tc>
          <w:tcPr>
            <w:tcW w:w="2325" w:type="dxa"/>
          </w:tcPr>
          <w:p w14:paraId="4473E728" w14:textId="77777777" w:rsidR="00B946FF" w:rsidRDefault="00B946FF" w:rsidP="00230F4E"/>
        </w:tc>
        <w:tc>
          <w:tcPr>
            <w:tcW w:w="1640" w:type="dxa"/>
          </w:tcPr>
          <w:p w14:paraId="2D77BF67" w14:textId="676604E1" w:rsidR="00B946FF" w:rsidRDefault="00431BA5" w:rsidP="00230F4E">
            <w:r>
              <w:t>2</w:t>
            </w:r>
            <w:r w:rsidR="00235422">
              <w:t xml:space="preserve"> Cllr spaces free</w:t>
            </w:r>
          </w:p>
        </w:tc>
      </w:tr>
      <w:tr w:rsidR="00B15796" w14:paraId="3C7A23A0" w14:textId="77777777" w:rsidTr="00B15796">
        <w:tc>
          <w:tcPr>
            <w:tcW w:w="3231" w:type="dxa"/>
          </w:tcPr>
          <w:p w14:paraId="11B78409" w14:textId="17472BF1" w:rsidR="00B15796" w:rsidRDefault="00B15796" w:rsidP="00230F4E">
            <w:r>
              <w:t>Understanding the law</w:t>
            </w:r>
          </w:p>
        </w:tc>
        <w:tc>
          <w:tcPr>
            <w:tcW w:w="1594" w:type="dxa"/>
          </w:tcPr>
          <w:p w14:paraId="48510803" w14:textId="77777777" w:rsidR="00B15796" w:rsidRDefault="00B15796" w:rsidP="00230F4E"/>
        </w:tc>
        <w:tc>
          <w:tcPr>
            <w:tcW w:w="2258" w:type="dxa"/>
          </w:tcPr>
          <w:p w14:paraId="67AD4483" w14:textId="77777777" w:rsidR="00B15796" w:rsidRDefault="00B15796" w:rsidP="00230F4E"/>
        </w:tc>
        <w:tc>
          <w:tcPr>
            <w:tcW w:w="3122" w:type="dxa"/>
          </w:tcPr>
          <w:p w14:paraId="7D2A453B" w14:textId="7461B394" w:rsidR="00B15796" w:rsidRDefault="00274B5F" w:rsidP="00230F4E">
            <w:r>
              <w:t>2 councillors</w:t>
            </w:r>
          </w:p>
        </w:tc>
        <w:tc>
          <w:tcPr>
            <w:tcW w:w="2325" w:type="dxa"/>
          </w:tcPr>
          <w:p w14:paraId="59AEDAFF" w14:textId="77777777" w:rsidR="00B15796" w:rsidRDefault="00B15796" w:rsidP="00230F4E"/>
        </w:tc>
        <w:tc>
          <w:tcPr>
            <w:tcW w:w="1640" w:type="dxa"/>
          </w:tcPr>
          <w:p w14:paraId="24145E80" w14:textId="4124C6E2" w:rsidR="00B15796" w:rsidRDefault="008E330C" w:rsidP="00230F4E">
            <w:r>
              <w:t>2 Cllr spaces free</w:t>
            </w:r>
          </w:p>
        </w:tc>
      </w:tr>
      <w:tr w:rsidR="00B946FF" w14:paraId="0DD1CDEA" w14:textId="77777777" w:rsidTr="00B15796">
        <w:tc>
          <w:tcPr>
            <w:tcW w:w="3231" w:type="dxa"/>
          </w:tcPr>
          <w:p w14:paraId="6C4AD052" w14:textId="14F347D9" w:rsidR="00B946FF" w:rsidRDefault="00B946FF" w:rsidP="00230F4E">
            <w:r>
              <w:t>Council as an employer</w:t>
            </w:r>
          </w:p>
        </w:tc>
        <w:tc>
          <w:tcPr>
            <w:tcW w:w="1594" w:type="dxa"/>
          </w:tcPr>
          <w:p w14:paraId="0D26C743" w14:textId="77777777" w:rsidR="00B946FF" w:rsidRDefault="00B946FF" w:rsidP="00230F4E"/>
        </w:tc>
        <w:tc>
          <w:tcPr>
            <w:tcW w:w="2258" w:type="dxa"/>
          </w:tcPr>
          <w:p w14:paraId="23B7175B" w14:textId="77777777" w:rsidR="00B946FF" w:rsidRDefault="00B946FF" w:rsidP="00230F4E"/>
        </w:tc>
        <w:tc>
          <w:tcPr>
            <w:tcW w:w="3122" w:type="dxa"/>
          </w:tcPr>
          <w:p w14:paraId="4207B282" w14:textId="045C3C37" w:rsidR="00B946FF" w:rsidRDefault="00382BC1" w:rsidP="00230F4E">
            <w:r>
              <w:t xml:space="preserve">Personnel </w:t>
            </w:r>
            <w:r w:rsidR="000C6AB7">
              <w:t>Committee</w:t>
            </w:r>
          </w:p>
        </w:tc>
        <w:tc>
          <w:tcPr>
            <w:tcW w:w="2325" w:type="dxa"/>
          </w:tcPr>
          <w:p w14:paraId="3C5804C3" w14:textId="77777777" w:rsidR="00B946FF" w:rsidRDefault="00B946FF" w:rsidP="00230F4E"/>
        </w:tc>
        <w:tc>
          <w:tcPr>
            <w:tcW w:w="1640" w:type="dxa"/>
          </w:tcPr>
          <w:p w14:paraId="17BB7706" w14:textId="263EA6C3" w:rsidR="00B946FF" w:rsidRDefault="00431BA5" w:rsidP="00230F4E">
            <w:r>
              <w:t>2 Cllr spaces free</w:t>
            </w:r>
          </w:p>
        </w:tc>
      </w:tr>
      <w:tr w:rsidR="006E2A15" w14:paraId="4AE21D8F" w14:textId="77777777" w:rsidTr="00B15796">
        <w:tc>
          <w:tcPr>
            <w:tcW w:w="3231" w:type="dxa"/>
          </w:tcPr>
          <w:p w14:paraId="35CC9B40" w14:textId="11EDA758" w:rsidR="006E2A15" w:rsidRDefault="00D848AC" w:rsidP="00230F4E">
            <w:r>
              <w:t>Understanding Local Government Finance – Advanced</w:t>
            </w:r>
          </w:p>
        </w:tc>
        <w:tc>
          <w:tcPr>
            <w:tcW w:w="1594" w:type="dxa"/>
          </w:tcPr>
          <w:p w14:paraId="056CABDD" w14:textId="77777777" w:rsidR="006E2A15" w:rsidRDefault="006E2A15" w:rsidP="00230F4E"/>
        </w:tc>
        <w:tc>
          <w:tcPr>
            <w:tcW w:w="2258" w:type="dxa"/>
          </w:tcPr>
          <w:p w14:paraId="3509E6F2" w14:textId="77777777" w:rsidR="006E2A15" w:rsidRDefault="006E2A15" w:rsidP="00230F4E"/>
        </w:tc>
        <w:tc>
          <w:tcPr>
            <w:tcW w:w="3122" w:type="dxa"/>
          </w:tcPr>
          <w:p w14:paraId="57EDAB74" w14:textId="1F06151D" w:rsidR="006E2A15" w:rsidRDefault="00274B5F" w:rsidP="00230F4E">
            <w:r>
              <w:t xml:space="preserve">2 councillors who have completed Local Government Finance </w:t>
            </w:r>
          </w:p>
        </w:tc>
        <w:tc>
          <w:tcPr>
            <w:tcW w:w="2325" w:type="dxa"/>
          </w:tcPr>
          <w:p w14:paraId="53D75D4D" w14:textId="77777777" w:rsidR="006E2A15" w:rsidRDefault="006E2A15" w:rsidP="00230F4E"/>
        </w:tc>
        <w:tc>
          <w:tcPr>
            <w:tcW w:w="1640" w:type="dxa"/>
          </w:tcPr>
          <w:p w14:paraId="08233CDA" w14:textId="17F8C081" w:rsidR="006E2A15" w:rsidRDefault="00431BA5" w:rsidP="00230F4E">
            <w:r>
              <w:t>2 Cllr spaces free</w:t>
            </w:r>
          </w:p>
        </w:tc>
      </w:tr>
      <w:tr w:rsidR="00D848AC" w14:paraId="10E910BC" w14:textId="77777777" w:rsidTr="00B15796">
        <w:tc>
          <w:tcPr>
            <w:tcW w:w="3231" w:type="dxa"/>
          </w:tcPr>
          <w:p w14:paraId="7F75BC5F" w14:textId="30F57BDE" w:rsidR="00D848AC" w:rsidRDefault="00034170" w:rsidP="00230F4E">
            <w:r>
              <w:t>Finance and Governance Toolkit</w:t>
            </w:r>
          </w:p>
        </w:tc>
        <w:tc>
          <w:tcPr>
            <w:tcW w:w="1594" w:type="dxa"/>
          </w:tcPr>
          <w:p w14:paraId="62C8803F" w14:textId="6EA559C9" w:rsidR="00D848AC" w:rsidRDefault="004E00FF" w:rsidP="00230F4E">
            <w:r>
              <w:t>2025</w:t>
            </w:r>
          </w:p>
        </w:tc>
        <w:tc>
          <w:tcPr>
            <w:tcW w:w="2258" w:type="dxa"/>
          </w:tcPr>
          <w:p w14:paraId="40ECD4EB" w14:textId="21955A92" w:rsidR="00D848AC" w:rsidRDefault="004E00FF" w:rsidP="00230F4E">
            <w:r>
              <w:t>OVW</w:t>
            </w:r>
          </w:p>
        </w:tc>
        <w:tc>
          <w:tcPr>
            <w:tcW w:w="3122" w:type="dxa"/>
          </w:tcPr>
          <w:p w14:paraId="58B101A7" w14:textId="2C66EA36" w:rsidR="00D848AC" w:rsidRDefault="004E00FF" w:rsidP="00230F4E">
            <w:r>
              <w:t>2 councillors and the Clerk</w:t>
            </w:r>
          </w:p>
        </w:tc>
        <w:tc>
          <w:tcPr>
            <w:tcW w:w="2325" w:type="dxa"/>
          </w:tcPr>
          <w:p w14:paraId="19994C0C" w14:textId="77777777" w:rsidR="00D848AC" w:rsidRDefault="00D848AC" w:rsidP="00230F4E"/>
        </w:tc>
        <w:tc>
          <w:tcPr>
            <w:tcW w:w="1640" w:type="dxa"/>
          </w:tcPr>
          <w:p w14:paraId="29071CD0" w14:textId="645773C9" w:rsidR="00D848AC" w:rsidRDefault="00235422" w:rsidP="00230F4E">
            <w:r>
              <w:t>2 Cllr spaces free</w:t>
            </w:r>
          </w:p>
        </w:tc>
      </w:tr>
    </w:tbl>
    <w:p w14:paraId="4213A371" w14:textId="77777777" w:rsidR="00230F4E" w:rsidRDefault="00230F4E" w:rsidP="00230F4E"/>
    <w:sectPr w:rsidR="00230F4E" w:rsidSect="00B946FF">
      <w:pgSz w:w="16838" w:h="11906" w:orient="landscape" w:code="9"/>
      <w:pgMar w:top="1440" w:right="1440" w:bottom="851" w:left="1440" w:header="709" w:footer="709"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4C4"/>
    <w:multiLevelType w:val="multilevel"/>
    <w:tmpl w:val="ABA673D8"/>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82775B"/>
    <w:multiLevelType w:val="multilevel"/>
    <w:tmpl w:val="92DEB512"/>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156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41C275F"/>
    <w:multiLevelType w:val="hybridMultilevel"/>
    <w:tmpl w:val="57885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3158424">
    <w:abstractNumId w:val="1"/>
  </w:num>
  <w:num w:numId="2" w16cid:durableId="1135678650">
    <w:abstractNumId w:val="0"/>
  </w:num>
  <w:num w:numId="3" w16cid:durableId="367727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F4E"/>
    <w:rsid w:val="000211CF"/>
    <w:rsid w:val="00034170"/>
    <w:rsid w:val="000A64D3"/>
    <w:rsid w:val="000C6AB7"/>
    <w:rsid w:val="00102A15"/>
    <w:rsid w:val="0010637B"/>
    <w:rsid w:val="00163EF0"/>
    <w:rsid w:val="00195311"/>
    <w:rsid w:val="001C5293"/>
    <w:rsid w:val="00230F4E"/>
    <w:rsid w:val="00235422"/>
    <w:rsid w:val="00273306"/>
    <w:rsid w:val="00274B5F"/>
    <w:rsid w:val="00382BC1"/>
    <w:rsid w:val="003E17F3"/>
    <w:rsid w:val="00431BA5"/>
    <w:rsid w:val="004E00FF"/>
    <w:rsid w:val="006E2A15"/>
    <w:rsid w:val="007E2C98"/>
    <w:rsid w:val="00826B99"/>
    <w:rsid w:val="008B053A"/>
    <w:rsid w:val="008E330C"/>
    <w:rsid w:val="009B5855"/>
    <w:rsid w:val="00A94434"/>
    <w:rsid w:val="00AC7E42"/>
    <w:rsid w:val="00B15796"/>
    <w:rsid w:val="00B601A3"/>
    <w:rsid w:val="00B946FF"/>
    <w:rsid w:val="00BB189A"/>
    <w:rsid w:val="00BF1FCA"/>
    <w:rsid w:val="00D848AC"/>
    <w:rsid w:val="00DE59E5"/>
    <w:rsid w:val="00DF3F33"/>
    <w:rsid w:val="00E06AAD"/>
    <w:rsid w:val="00ED72C6"/>
    <w:rsid w:val="00F70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94AF5"/>
  <w15:chartTrackingRefBased/>
  <w15:docId w15:val="{AC686174-59F5-4111-B589-3E2FAA598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Verdan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293"/>
    <w:pPr>
      <w:spacing w:after="100" w:afterAutospacing="1" w:line="240" w:lineRule="auto"/>
    </w:pPr>
    <w:rPr>
      <w:rFonts w:ascii="Arial" w:hAnsi="Arial" w:cs="Verdana"/>
      <w:color w:val="000000"/>
      <w:lang w:eastAsia="en-GB"/>
    </w:rPr>
  </w:style>
  <w:style w:type="paragraph" w:styleId="Heading1">
    <w:name w:val="heading 1"/>
    <w:basedOn w:val="Normal"/>
    <w:next w:val="Normal"/>
    <w:link w:val="Heading1Char"/>
    <w:autoRedefine/>
    <w:uiPriority w:val="9"/>
    <w:qFormat/>
    <w:rsid w:val="000A64D3"/>
    <w:pPr>
      <w:keepNext/>
      <w:keepLines/>
      <w:spacing w:before="240" w:after="0" w:line="250" w:lineRule="auto"/>
      <w:ind w:left="730" w:hanging="370"/>
      <w:outlineLvl w:val="0"/>
    </w:pPr>
    <w:rPr>
      <w:rFonts w:eastAsiaTheme="majorEastAsia" w:cstheme="majorBidi"/>
      <w:b/>
      <w:color w:val="auto"/>
      <w:szCs w:val="32"/>
      <w:lang w:eastAsia="en-US"/>
    </w:rPr>
  </w:style>
  <w:style w:type="paragraph" w:styleId="Heading2">
    <w:name w:val="heading 2"/>
    <w:basedOn w:val="Normal"/>
    <w:next w:val="Normal"/>
    <w:link w:val="Heading2Char"/>
    <w:autoRedefine/>
    <w:uiPriority w:val="9"/>
    <w:unhideWhenUsed/>
    <w:qFormat/>
    <w:rsid w:val="000A64D3"/>
    <w:pPr>
      <w:keepNext/>
      <w:keepLines/>
      <w:spacing w:before="40" w:after="0" w:line="250" w:lineRule="auto"/>
      <w:ind w:left="730" w:hanging="370"/>
      <w:outlineLvl w:val="1"/>
    </w:pPr>
    <w:rPr>
      <w:rFonts w:eastAsiaTheme="majorEastAsia" w:cstheme="majorBidi"/>
      <w:b/>
      <w:color w:val="auto"/>
      <w:szCs w:val="26"/>
      <w:lang w:eastAsia="en-US"/>
    </w:rPr>
  </w:style>
  <w:style w:type="paragraph" w:styleId="Heading3">
    <w:name w:val="heading 3"/>
    <w:next w:val="Normal"/>
    <w:link w:val="Heading3Char"/>
    <w:autoRedefine/>
    <w:uiPriority w:val="9"/>
    <w:unhideWhenUsed/>
    <w:qFormat/>
    <w:rsid w:val="00163EF0"/>
    <w:pPr>
      <w:keepNext/>
      <w:keepLines/>
      <w:spacing w:after="0" w:line="259" w:lineRule="auto"/>
      <w:ind w:left="492" w:hanging="10"/>
      <w:outlineLvl w:val="2"/>
    </w:pPr>
    <w:rPr>
      <w:rFonts w:ascii="Arial" w:hAnsi="Arial" w:cs="Verdana"/>
      <w:b/>
      <w:color w:val="000000"/>
      <w:u w:color="000000"/>
    </w:rPr>
  </w:style>
  <w:style w:type="paragraph" w:styleId="Heading4">
    <w:name w:val="heading 4"/>
    <w:next w:val="Normal"/>
    <w:link w:val="Heading4Char"/>
    <w:autoRedefine/>
    <w:uiPriority w:val="9"/>
    <w:unhideWhenUsed/>
    <w:qFormat/>
    <w:rsid w:val="00163EF0"/>
    <w:pPr>
      <w:keepNext/>
      <w:keepLines/>
      <w:spacing w:after="3" w:line="253" w:lineRule="auto"/>
      <w:ind w:left="492" w:hanging="10"/>
      <w:outlineLvl w:val="3"/>
    </w:pPr>
    <w:rPr>
      <w:rFonts w:ascii="Arial" w:hAnsi="Arial" w:cs="Verdana"/>
      <w:b/>
      <w:color w:val="000000"/>
    </w:rPr>
  </w:style>
  <w:style w:type="paragraph" w:styleId="Heading5">
    <w:name w:val="heading 5"/>
    <w:basedOn w:val="Normal"/>
    <w:next w:val="Normal"/>
    <w:link w:val="Heading5Char"/>
    <w:uiPriority w:val="9"/>
    <w:semiHidden/>
    <w:unhideWhenUsed/>
    <w:qFormat/>
    <w:rsid w:val="00230F4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30F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30F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30F4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30F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4D3"/>
    <w:rPr>
      <w:rFonts w:ascii="Arial" w:eastAsiaTheme="majorEastAsia" w:hAnsi="Arial" w:cstheme="majorBidi"/>
      <w:b/>
      <w:szCs w:val="32"/>
    </w:rPr>
  </w:style>
  <w:style w:type="character" w:customStyle="1" w:styleId="Heading2Char">
    <w:name w:val="Heading 2 Char"/>
    <w:basedOn w:val="DefaultParagraphFont"/>
    <w:link w:val="Heading2"/>
    <w:uiPriority w:val="9"/>
    <w:rsid w:val="000A64D3"/>
    <w:rPr>
      <w:rFonts w:ascii="Arial" w:eastAsiaTheme="majorEastAsia" w:hAnsi="Arial" w:cstheme="majorBidi"/>
      <w:b/>
      <w:szCs w:val="26"/>
    </w:rPr>
  </w:style>
  <w:style w:type="character" w:customStyle="1" w:styleId="Heading3Char">
    <w:name w:val="Heading 3 Char"/>
    <w:link w:val="Heading3"/>
    <w:uiPriority w:val="9"/>
    <w:rsid w:val="00163EF0"/>
    <w:rPr>
      <w:rFonts w:ascii="Arial" w:eastAsia="Verdana" w:hAnsi="Arial" w:cs="Verdana"/>
      <w:b/>
      <w:color w:val="000000"/>
      <w:u w:color="000000"/>
    </w:rPr>
  </w:style>
  <w:style w:type="character" w:customStyle="1" w:styleId="Heading4Char">
    <w:name w:val="Heading 4 Char"/>
    <w:link w:val="Heading4"/>
    <w:uiPriority w:val="9"/>
    <w:rsid w:val="00163EF0"/>
    <w:rPr>
      <w:rFonts w:ascii="Arial" w:eastAsia="Verdana" w:hAnsi="Arial" w:cs="Verdana"/>
      <w:b/>
      <w:color w:val="000000"/>
    </w:rPr>
  </w:style>
  <w:style w:type="character" w:customStyle="1" w:styleId="Heading5Char">
    <w:name w:val="Heading 5 Char"/>
    <w:basedOn w:val="DefaultParagraphFont"/>
    <w:link w:val="Heading5"/>
    <w:uiPriority w:val="9"/>
    <w:semiHidden/>
    <w:rsid w:val="00230F4E"/>
    <w:rPr>
      <w:rFonts w:eastAsiaTheme="majorEastAsia" w:cstheme="majorBidi"/>
      <w:color w:val="0F4761" w:themeColor="accent1" w:themeShade="BF"/>
      <w:lang w:eastAsia="en-GB"/>
    </w:rPr>
  </w:style>
  <w:style w:type="character" w:customStyle="1" w:styleId="Heading6Char">
    <w:name w:val="Heading 6 Char"/>
    <w:basedOn w:val="DefaultParagraphFont"/>
    <w:link w:val="Heading6"/>
    <w:uiPriority w:val="9"/>
    <w:semiHidden/>
    <w:rsid w:val="00230F4E"/>
    <w:rPr>
      <w:rFonts w:eastAsiaTheme="majorEastAsia" w:cstheme="majorBidi"/>
      <w:i/>
      <w:iCs/>
      <w:color w:val="595959" w:themeColor="text1" w:themeTint="A6"/>
      <w:lang w:eastAsia="en-GB"/>
    </w:rPr>
  </w:style>
  <w:style w:type="character" w:customStyle="1" w:styleId="Heading7Char">
    <w:name w:val="Heading 7 Char"/>
    <w:basedOn w:val="DefaultParagraphFont"/>
    <w:link w:val="Heading7"/>
    <w:uiPriority w:val="9"/>
    <w:semiHidden/>
    <w:rsid w:val="00230F4E"/>
    <w:rPr>
      <w:rFonts w:eastAsiaTheme="majorEastAsia" w:cstheme="majorBidi"/>
      <w:color w:val="595959" w:themeColor="text1" w:themeTint="A6"/>
      <w:lang w:eastAsia="en-GB"/>
    </w:rPr>
  </w:style>
  <w:style w:type="character" w:customStyle="1" w:styleId="Heading8Char">
    <w:name w:val="Heading 8 Char"/>
    <w:basedOn w:val="DefaultParagraphFont"/>
    <w:link w:val="Heading8"/>
    <w:uiPriority w:val="9"/>
    <w:semiHidden/>
    <w:rsid w:val="00230F4E"/>
    <w:rPr>
      <w:rFonts w:eastAsiaTheme="majorEastAsia" w:cstheme="majorBidi"/>
      <w:i/>
      <w:iCs/>
      <w:color w:val="272727" w:themeColor="text1" w:themeTint="D8"/>
      <w:lang w:eastAsia="en-GB"/>
    </w:rPr>
  </w:style>
  <w:style w:type="character" w:customStyle="1" w:styleId="Heading9Char">
    <w:name w:val="Heading 9 Char"/>
    <w:basedOn w:val="DefaultParagraphFont"/>
    <w:link w:val="Heading9"/>
    <w:uiPriority w:val="9"/>
    <w:semiHidden/>
    <w:rsid w:val="00230F4E"/>
    <w:rPr>
      <w:rFonts w:eastAsiaTheme="majorEastAsia" w:cstheme="majorBidi"/>
      <w:color w:val="272727" w:themeColor="text1" w:themeTint="D8"/>
      <w:lang w:eastAsia="en-GB"/>
    </w:rPr>
  </w:style>
  <w:style w:type="paragraph" w:styleId="Title">
    <w:name w:val="Title"/>
    <w:basedOn w:val="Normal"/>
    <w:next w:val="Normal"/>
    <w:link w:val="TitleChar"/>
    <w:uiPriority w:val="10"/>
    <w:qFormat/>
    <w:rsid w:val="00230F4E"/>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30F4E"/>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230F4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F4E"/>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230F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30F4E"/>
    <w:rPr>
      <w:rFonts w:ascii="Arial" w:hAnsi="Arial" w:cs="Verdana"/>
      <w:i/>
      <w:iCs/>
      <w:color w:val="404040" w:themeColor="text1" w:themeTint="BF"/>
      <w:lang w:eastAsia="en-GB"/>
    </w:rPr>
  </w:style>
  <w:style w:type="paragraph" w:styleId="ListParagraph">
    <w:name w:val="List Paragraph"/>
    <w:basedOn w:val="Normal"/>
    <w:uiPriority w:val="34"/>
    <w:qFormat/>
    <w:rsid w:val="00230F4E"/>
    <w:pPr>
      <w:ind w:left="720"/>
      <w:contextualSpacing/>
    </w:pPr>
  </w:style>
  <w:style w:type="character" w:styleId="IntenseEmphasis">
    <w:name w:val="Intense Emphasis"/>
    <w:basedOn w:val="DefaultParagraphFont"/>
    <w:uiPriority w:val="21"/>
    <w:qFormat/>
    <w:rsid w:val="00230F4E"/>
    <w:rPr>
      <w:i/>
      <w:iCs/>
      <w:color w:val="0F4761" w:themeColor="accent1" w:themeShade="BF"/>
    </w:rPr>
  </w:style>
  <w:style w:type="paragraph" w:styleId="IntenseQuote">
    <w:name w:val="Intense Quote"/>
    <w:basedOn w:val="Normal"/>
    <w:next w:val="Normal"/>
    <w:link w:val="IntenseQuoteChar"/>
    <w:uiPriority w:val="30"/>
    <w:qFormat/>
    <w:rsid w:val="00230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F4E"/>
    <w:rPr>
      <w:rFonts w:ascii="Arial" w:hAnsi="Arial" w:cs="Verdana"/>
      <w:i/>
      <w:iCs/>
      <w:color w:val="0F4761" w:themeColor="accent1" w:themeShade="BF"/>
      <w:lang w:eastAsia="en-GB"/>
    </w:rPr>
  </w:style>
  <w:style w:type="character" w:styleId="IntenseReference">
    <w:name w:val="Intense Reference"/>
    <w:basedOn w:val="DefaultParagraphFont"/>
    <w:uiPriority w:val="32"/>
    <w:qFormat/>
    <w:rsid w:val="00230F4E"/>
    <w:rPr>
      <w:b/>
      <w:bCs/>
      <w:smallCaps/>
      <w:color w:val="0F4761" w:themeColor="accent1" w:themeShade="BF"/>
      <w:spacing w:val="5"/>
    </w:rPr>
  </w:style>
  <w:style w:type="table" w:styleId="TableGrid">
    <w:name w:val="Table Grid"/>
    <w:basedOn w:val="TableNormal"/>
    <w:uiPriority w:val="39"/>
    <w:rsid w:val="00230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Grosmont Community Council</dc:creator>
  <cp:keywords/>
  <dc:description/>
  <cp:lastModifiedBy>Grosmont Community Council</cp:lastModifiedBy>
  <cp:revision>13</cp:revision>
  <dcterms:created xsi:type="dcterms:W3CDTF">2025-08-19T14:00:00Z</dcterms:created>
  <dcterms:modified xsi:type="dcterms:W3CDTF">2025-09-30T17:17:00Z</dcterms:modified>
</cp:coreProperties>
</file>